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«МРСК Юга»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«МРСК Юга»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«МРСК Юга»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По итогам деятельности за 201</w:t>
      </w:r>
      <w:r w:rsidR="00E450CB">
        <w:rPr>
          <w:rFonts w:cstheme="minorHAnsi"/>
        </w:rPr>
        <w:t>9</w:t>
      </w:r>
      <w:r>
        <w:rPr>
          <w:rFonts w:cstheme="minorHAnsi"/>
        </w:rPr>
        <w:t xml:space="preserve"> год</w:t>
      </w:r>
      <w:r w:rsidR="00E450CB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B179C6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2019 год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0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A19B1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36 966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A19B1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34 911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A19B1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A19B1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A19B1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A19B1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923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EA19B1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A19B1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  <w:bookmarkStart w:id="0" w:name="_GoBack"/>
            <w:bookmarkEnd w:id="0"/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EA19B1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C5D3A"/>
    <w:rsid w:val="00153B3E"/>
    <w:rsid w:val="001711F8"/>
    <w:rsid w:val="001E0FE1"/>
    <w:rsid w:val="002836FA"/>
    <w:rsid w:val="002D191E"/>
    <w:rsid w:val="00310092"/>
    <w:rsid w:val="0033316F"/>
    <w:rsid w:val="00335C08"/>
    <w:rsid w:val="003A7F7F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88755C"/>
    <w:rsid w:val="00920F01"/>
    <w:rsid w:val="00927877"/>
    <w:rsid w:val="00935DCF"/>
    <w:rsid w:val="0094232C"/>
    <w:rsid w:val="009A033E"/>
    <w:rsid w:val="009B31E9"/>
    <w:rsid w:val="00A561FF"/>
    <w:rsid w:val="00B179C6"/>
    <w:rsid w:val="00BC2787"/>
    <w:rsid w:val="00C96AD4"/>
    <w:rsid w:val="00D23442"/>
    <w:rsid w:val="00DB24FA"/>
    <w:rsid w:val="00DB3A28"/>
    <w:rsid w:val="00DB7B45"/>
    <w:rsid w:val="00DD051C"/>
    <w:rsid w:val="00DD1CE7"/>
    <w:rsid w:val="00E17422"/>
    <w:rsid w:val="00E450CB"/>
    <w:rsid w:val="00EA19B1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DDDA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2019 год,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922.72001498999998</c:v>
                </c:pt>
                <c:pt idx="1">
                  <c:v>34911.007064494603</c:v>
                </c:pt>
                <c:pt idx="2">
                  <c:v>285.134703</c:v>
                </c:pt>
                <c:pt idx="3">
                  <c:v>847.57053563199997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Машнова Светлана Вячеславовна</cp:lastModifiedBy>
  <cp:revision>10</cp:revision>
  <dcterms:created xsi:type="dcterms:W3CDTF">2018-05-16T12:25:00Z</dcterms:created>
  <dcterms:modified xsi:type="dcterms:W3CDTF">2020-02-20T11:31:00Z</dcterms:modified>
</cp:coreProperties>
</file>